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CD895" w14:textId="100EDE27" w:rsidR="0019587B" w:rsidRPr="004E65EF" w:rsidRDefault="0019587B" w:rsidP="0019587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19587B">
        <w:rPr>
          <w:rFonts w:ascii="Arial" w:hAnsi="Arial" w:cs="Arial"/>
          <w:b/>
          <w:bCs/>
          <w:sz w:val="28"/>
        </w:rPr>
        <w:t>R1-2202173</w:t>
      </w:r>
    </w:p>
    <w:p w14:paraId="577D9BDA" w14:textId="77777777" w:rsidR="0019587B" w:rsidRPr="009513AC" w:rsidRDefault="0019587B" w:rsidP="0019587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C15AD34" w14:textId="19D810EF" w:rsidR="00620296" w:rsidRDefault="00620296" w:rsidP="00EE3BA5">
      <w:pPr>
        <w:pStyle w:val="Header"/>
        <w:tabs>
          <w:tab w:val="right" w:pos="9639"/>
        </w:tabs>
        <w:jc w:val="both"/>
        <w:rPr>
          <w:sz w:val="24"/>
        </w:rPr>
      </w:pPr>
      <w:r w:rsidRPr="00F752F5">
        <w:rPr>
          <w:sz w:val="24"/>
        </w:rPr>
        <w:tab/>
      </w:r>
    </w:p>
    <w:p w14:paraId="37F837FF" w14:textId="77777777" w:rsidR="00F81424" w:rsidRPr="00F752F5" w:rsidRDefault="00F81424" w:rsidP="00F81424">
      <w:pPr>
        <w:pStyle w:val="Header"/>
        <w:tabs>
          <w:tab w:val="right" w:pos="9639"/>
        </w:tabs>
        <w:jc w:val="both"/>
        <w:rPr>
          <w:i/>
          <w:sz w:val="32"/>
        </w:rPr>
      </w:pPr>
    </w:p>
    <w:p w14:paraId="66A2A3CB" w14:textId="3E7EBA92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Agenda item:</w:t>
      </w:r>
      <w:r w:rsidRPr="00F752F5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004F4">
        <w:rPr>
          <w:rFonts w:ascii="Arial" w:hAnsi="Arial"/>
          <w:sz w:val="24"/>
          <w:lang w:val="en-US"/>
        </w:rPr>
        <w:t>8.16.9</w:t>
      </w:r>
    </w:p>
    <w:p w14:paraId="08727EFD" w14:textId="77777777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 xml:space="preserve">Source: </w:t>
      </w:r>
      <w:r w:rsidRPr="00F752F5">
        <w:rPr>
          <w:rFonts w:ascii="Arial" w:hAnsi="Arial"/>
          <w:b/>
          <w:sz w:val="24"/>
          <w:lang w:val="en-US"/>
        </w:rPr>
        <w:tab/>
      </w:r>
      <w:r w:rsidRPr="00F752F5">
        <w:rPr>
          <w:rFonts w:ascii="Arial" w:hAnsi="Arial"/>
          <w:sz w:val="24"/>
          <w:lang w:val="en-US"/>
        </w:rPr>
        <w:t>Qualcomm Incorporated</w:t>
      </w:r>
    </w:p>
    <w:p w14:paraId="2B7E5407" w14:textId="2793AF87" w:rsidR="00620296" w:rsidRPr="00F752F5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Title:</w:t>
      </w:r>
      <w:r w:rsidRPr="00F752F5">
        <w:rPr>
          <w:rFonts w:ascii="Arial" w:hAnsi="Arial"/>
          <w:sz w:val="24"/>
          <w:lang w:val="en-US"/>
        </w:rPr>
        <w:t xml:space="preserve"> </w:t>
      </w:r>
      <w:r w:rsidRPr="00F752F5">
        <w:rPr>
          <w:rFonts w:ascii="Arial" w:hAnsi="Arial"/>
          <w:sz w:val="22"/>
          <w:lang w:val="en-US"/>
        </w:rPr>
        <w:tab/>
      </w:r>
      <w:r w:rsidR="005004F4" w:rsidRPr="005004F4">
        <w:rPr>
          <w:rFonts w:ascii="Arial" w:hAnsi="Arial"/>
          <w:sz w:val="24"/>
          <w:lang w:val="en-US"/>
        </w:rPr>
        <w:t>UE features for NB-IoT and LTE-MTC enhancements</w:t>
      </w:r>
    </w:p>
    <w:p w14:paraId="412B4E4E" w14:textId="75646A95" w:rsidR="00B32506" w:rsidRPr="00F752F5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Document for:</w:t>
      </w:r>
      <w:r w:rsidRPr="00F752F5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F752F5">
        <w:rPr>
          <w:rFonts w:ascii="Arial" w:hAnsi="Arial"/>
          <w:sz w:val="24"/>
          <w:lang w:val="en-US"/>
        </w:rPr>
        <w:t>Discussion and Decision</w:t>
      </w:r>
    </w:p>
    <w:p w14:paraId="2859D330" w14:textId="6EAD4AFC" w:rsidR="008208F6" w:rsidRPr="00F752F5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</w:p>
    <w:p w14:paraId="092284EF" w14:textId="1FBEBF87" w:rsidR="001B159B" w:rsidRPr="00F752F5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 w:rsidRPr="00F752F5">
        <w:rPr>
          <w:lang w:val="en-US"/>
        </w:rPr>
        <w:t>Background</w:t>
      </w:r>
    </w:p>
    <w:p w14:paraId="11CAFCB5" w14:textId="77777777" w:rsidR="005004F4" w:rsidRDefault="00F81424" w:rsidP="002F6C8E">
      <w:pPr>
        <w:rPr>
          <w:lang w:val="en-US"/>
        </w:rPr>
      </w:pPr>
      <w:r>
        <w:rPr>
          <w:lang w:val="en-US"/>
        </w:rPr>
        <w:t xml:space="preserve">In </w:t>
      </w:r>
      <w:r w:rsidR="002F6C8E">
        <w:rPr>
          <w:lang w:val="en-US"/>
        </w:rPr>
        <w:t>RAN1#</w:t>
      </w:r>
      <w:r w:rsidR="005004F4">
        <w:rPr>
          <w:lang w:val="en-US"/>
        </w:rPr>
        <w:t>106b-e, the following agreements were reached regarding UE features for NB-IoT and eMTC:</w:t>
      </w:r>
    </w:p>
    <w:p w14:paraId="147CCE90" w14:textId="77777777" w:rsidR="00407204" w:rsidRPr="00556B07" w:rsidRDefault="00407204" w:rsidP="00407204">
      <w:pPr>
        <w:rPr>
          <w:rFonts w:eastAsia="Yu Gothic" w:cs="Times"/>
          <w:highlight w:val="green"/>
          <w:lang w:val="en-US" w:eastAsia="ja-JP"/>
        </w:rPr>
      </w:pPr>
      <w:r w:rsidRPr="00556B07">
        <w:rPr>
          <w:rFonts w:cs="Times"/>
          <w:highlight w:val="green"/>
          <w:lang w:eastAsia="ja-JP"/>
        </w:rPr>
        <w:t xml:space="preserve">Agreement </w:t>
      </w:r>
    </w:p>
    <w:p w14:paraId="21EBE08C" w14:textId="77777777" w:rsidR="005004F4" w:rsidRPr="005717B4" w:rsidRDefault="005004F4" w:rsidP="005004F4">
      <w:pPr>
        <w:rPr>
          <w:rFonts w:cs="Times"/>
          <w:bCs/>
          <w:lang w:eastAsia="ja-JP"/>
        </w:rPr>
      </w:pPr>
      <w:r w:rsidRPr="005717B4">
        <w:rPr>
          <w:rFonts w:cs="Times"/>
          <w:bCs/>
          <w:lang w:eastAsia="ja-JP"/>
        </w:rPr>
        <w:t>FG 1-1 is kept as “16-QAM for unicast NPDSCH” as follows</w:t>
      </w:r>
      <w:r>
        <w:rPr>
          <w:rFonts w:cs="Times"/>
          <w:bCs/>
          <w:lang w:eastAsia="ja-JP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490"/>
        <w:gridCol w:w="663"/>
        <w:gridCol w:w="706"/>
        <w:gridCol w:w="692"/>
        <w:gridCol w:w="769"/>
        <w:gridCol w:w="767"/>
        <w:gridCol w:w="683"/>
        <w:gridCol w:w="372"/>
        <w:gridCol w:w="852"/>
        <w:gridCol w:w="854"/>
        <w:gridCol w:w="466"/>
        <w:gridCol w:w="882"/>
      </w:tblGrid>
      <w:tr w:rsidR="005004F4" w14:paraId="30CD468D" w14:textId="77777777" w:rsidTr="007D067B">
        <w:tc>
          <w:tcPr>
            <w:tcW w:w="7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216B9" w14:textId="77777777" w:rsidR="005004F4" w:rsidRPr="00556B07" w:rsidRDefault="005004F4" w:rsidP="007D067B">
            <w:pPr>
              <w:rPr>
                <w:rFonts w:ascii="Arial" w:hAnsi="Arial" w:cs="Arial"/>
                <w:sz w:val="10"/>
                <w:szCs w:val="10"/>
                <w:lang w:eastAsia="ko-KR"/>
              </w:rPr>
            </w:pPr>
            <w:r w:rsidRPr="00556B07">
              <w:rPr>
                <w:rFonts w:ascii="Arial" w:hAnsi="Arial" w:cs="Arial"/>
                <w:sz w:val="10"/>
                <w:szCs w:val="10"/>
              </w:rPr>
              <w:t>1. NB_IOTenh4_LTE_eMTC6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EBC6E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sz w:val="10"/>
              </w:rPr>
              <w:t>1-1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FA04E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  <w:lang w:eastAsia="zh-CN"/>
              </w:rPr>
            </w:pPr>
            <w:r w:rsidRPr="005717B4">
              <w:rPr>
                <w:rFonts w:ascii="Arial" w:hAnsi="Arial" w:cs="Arial"/>
                <w:sz w:val="10"/>
                <w:lang w:eastAsia="zh-CN"/>
              </w:rPr>
              <w:t>16-QAM for unicast NPDSCH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589BA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  <w:lang w:val="en-US" w:eastAsia="zh-CN"/>
              </w:rPr>
            </w:pPr>
            <w:r w:rsidRPr="005717B4">
              <w:rPr>
                <w:rFonts w:ascii="Arial" w:hAnsi="Arial" w:cs="Arial"/>
                <w:sz w:val="10"/>
                <w:lang w:eastAsia="zh-CN"/>
              </w:rPr>
              <w:t>1. Reception of unicast NPDSCH modulated with 16-QAM</w:t>
            </w:r>
          </w:p>
          <w:p w14:paraId="7C81AA04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  <w:lang w:eastAsia="zh-CN"/>
              </w:rPr>
            </w:pPr>
            <w:r w:rsidRPr="005717B4">
              <w:rPr>
                <w:rFonts w:ascii="Arial" w:hAnsi="Arial" w:cs="Arial"/>
                <w:sz w:val="10"/>
                <w:lang w:eastAsia="zh-CN"/>
              </w:rPr>
              <w:t>2. CQI report to support 16-QAM modulation</w:t>
            </w:r>
          </w:p>
          <w:p w14:paraId="156448A0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  <w:lang w:eastAsia="zh-CN"/>
              </w:rPr>
            </w:pPr>
            <w:r w:rsidRPr="005717B4">
              <w:rPr>
                <w:rFonts w:ascii="Arial" w:hAnsi="Arial" w:cs="Arial"/>
                <w:sz w:val="10"/>
                <w:lang w:eastAsia="zh-CN"/>
              </w:rPr>
              <w:t>3. Downlink power allocation for 16-QAM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2EEA0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  <w:lang w:eastAsia="ko-KR"/>
              </w:rPr>
            </w:pPr>
            <w:r w:rsidRPr="005717B4">
              <w:rPr>
                <w:rFonts w:ascii="Arial" w:hAnsi="Arial" w:cs="Arial"/>
                <w:sz w:val="10"/>
              </w:rPr>
              <w:t>Category NB-2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95B6B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sz w:val="10"/>
              </w:rPr>
              <w:t>Yes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51C45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sz w:val="10"/>
              </w:rPr>
              <w:t>N/A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A5B67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sz w:val="10"/>
              </w:rPr>
              <w:t>The network cannot schedule a unicast NPDSCH modulated with 16-QAM for the UE</w:t>
            </w:r>
          </w:p>
        </w:tc>
        <w:tc>
          <w:tcPr>
            <w:tcW w:w="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1848B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color w:val="000000"/>
                <w:sz w:val="10"/>
              </w:rPr>
              <w:t>Per UE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6815D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color w:val="000000"/>
                <w:sz w:val="10"/>
              </w:rPr>
              <w:t>[Yes]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DC7D1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color w:val="000000"/>
                <w:sz w:val="10"/>
              </w:rPr>
              <w:t>N/A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78081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9BE11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sz w:val="10"/>
              </w:rPr>
              <w:t>Optional with capability signaling</w:t>
            </w:r>
          </w:p>
        </w:tc>
      </w:tr>
    </w:tbl>
    <w:p w14:paraId="4E1867CA" w14:textId="77777777" w:rsidR="005004F4" w:rsidRDefault="005004F4" w:rsidP="005004F4">
      <w:pPr>
        <w:rPr>
          <w:lang w:val="en-US" w:eastAsia="x-none"/>
        </w:rPr>
      </w:pPr>
    </w:p>
    <w:p w14:paraId="19527EB0" w14:textId="77777777" w:rsidR="005004F4" w:rsidRPr="00556B07" w:rsidRDefault="005004F4" w:rsidP="005004F4">
      <w:pPr>
        <w:rPr>
          <w:rFonts w:eastAsia="Yu Gothic" w:cs="Times"/>
          <w:highlight w:val="green"/>
          <w:lang w:val="en-US" w:eastAsia="ja-JP"/>
        </w:rPr>
      </w:pPr>
      <w:r w:rsidRPr="00556B07">
        <w:rPr>
          <w:rFonts w:cs="Times"/>
          <w:highlight w:val="green"/>
          <w:lang w:eastAsia="ja-JP"/>
        </w:rPr>
        <w:t xml:space="preserve">Agreement </w:t>
      </w:r>
    </w:p>
    <w:p w14:paraId="0CD2D24C" w14:textId="77777777" w:rsidR="005004F4" w:rsidRPr="005717B4" w:rsidRDefault="005004F4" w:rsidP="005004F4">
      <w:pPr>
        <w:rPr>
          <w:rFonts w:cs="Times"/>
          <w:bCs/>
          <w:lang w:eastAsia="ja-JP"/>
        </w:rPr>
      </w:pPr>
      <w:r w:rsidRPr="005717B4">
        <w:rPr>
          <w:rFonts w:cs="Times"/>
          <w:bCs/>
          <w:lang w:eastAsia="ja-JP"/>
        </w:rPr>
        <w:t>FG 1-2 is kept as “16-QAM for unicast NPUSCH” as follows</w:t>
      </w:r>
      <w:r>
        <w:rPr>
          <w:rFonts w:cs="Times"/>
          <w:bCs/>
          <w:lang w:eastAsia="ja-JP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480"/>
        <w:gridCol w:w="651"/>
        <w:gridCol w:w="811"/>
        <w:gridCol w:w="685"/>
        <w:gridCol w:w="757"/>
        <w:gridCol w:w="757"/>
        <w:gridCol w:w="683"/>
        <w:gridCol w:w="372"/>
        <w:gridCol w:w="832"/>
        <w:gridCol w:w="843"/>
        <w:gridCol w:w="454"/>
        <w:gridCol w:w="871"/>
      </w:tblGrid>
      <w:tr w:rsidR="005004F4" w14:paraId="6AB4B912" w14:textId="77777777" w:rsidTr="007D067B">
        <w:tc>
          <w:tcPr>
            <w:tcW w:w="7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A7578" w14:textId="77777777" w:rsidR="005004F4" w:rsidRPr="00556B07" w:rsidRDefault="005004F4" w:rsidP="007D067B">
            <w:pPr>
              <w:rPr>
                <w:rFonts w:ascii="Arial" w:hAnsi="Arial" w:cs="Arial"/>
                <w:sz w:val="10"/>
                <w:szCs w:val="10"/>
                <w:lang w:eastAsia="ko-KR"/>
              </w:rPr>
            </w:pPr>
            <w:r w:rsidRPr="00556B07">
              <w:rPr>
                <w:rFonts w:ascii="Arial" w:hAnsi="Arial" w:cs="Arial"/>
                <w:sz w:val="10"/>
                <w:szCs w:val="10"/>
              </w:rPr>
              <w:t>1. NB_IOTenh4_LTE_eMTC6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9377C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sz w:val="10"/>
              </w:rPr>
              <w:t>1-2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28768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sz w:val="10"/>
              </w:rPr>
              <w:t>16-QAM for unicast NPUSCH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18842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sz w:val="10"/>
              </w:rPr>
              <w:t>1. Transmission of unicast NPUSCH modulated with 16-QAM</w:t>
            </w:r>
          </w:p>
          <w:p w14:paraId="66551FE5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sz w:val="10"/>
              </w:rPr>
              <w:t>2. New term in the UE’s transmit power control equation.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57ED0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sz w:val="10"/>
              </w:rPr>
              <w:t>Category NB-2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EDD9C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sz w:val="10"/>
              </w:rPr>
              <w:t>Yes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880AA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sz w:val="10"/>
              </w:rPr>
              <w:t>N/A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CCF2E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sz w:val="10"/>
              </w:rPr>
              <w:t>The network cannot schedule a unicast NPUSCH modulated with 16-QAM for the UE</w:t>
            </w:r>
          </w:p>
        </w:tc>
        <w:tc>
          <w:tcPr>
            <w:tcW w:w="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4CDE3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color w:val="000000"/>
                <w:sz w:val="10"/>
              </w:rPr>
              <w:t>Per UE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B3D75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color w:val="000000"/>
                <w:sz w:val="10"/>
              </w:rPr>
              <w:t>[Yes]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169A0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color w:val="000000"/>
                <w:sz w:val="10"/>
              </w:rPr>
              <w:t>N/A</w:t>
            </w:r>
          </w:p>
        </w:tc>
        <w:tc>
          <w:tcPr>
            <w:tcW w:w="2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DFAD7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CCA2C" w14:textId="77777777" w:rsidR="005004F4" w:rsidRPr="005717B4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717B4">
              <w:rPr>
                <w:rFonts w:ascii="Arial" w:hAnsi="Arial" w:cs="Arial"/>
                <w:sz w:val="10"/>
              </w:rPr>
              <w:t>Optional with capability signaling</w:t>
            </w:r>
          </w:p>
        </w:tc>
      </w:tr>
    </w:tbl>
    <w:p w14:paraId="322CE57F" w14:textId="77777777" w:rsidR="005004F4" w:rsidRDefault="005004F4" w:rsidP="005004F4">
      <w:pPr>
        <w:rPr>
          <w:lang w:val="en-US" w:eastAsia="x-none"/>
        </w:rPr>
      </w:pPr>
    </w:p>
    <w:p w14:paraId="7F6CF992" w14:textId="77777777" w:rsidR="005004F4" w:rsidRPr="00556B07" w:rsidRDefault="005004F4" w:rsidP="005004F4">
      <w:pPr>
        <w:rPr>
          <w:rFonts w:eastAsia="Yu Gothic" w:cs="Times"/>
          <w:highlight w:val="green"/>
          <w:lang w:val="en-US" w:eastAsia="ja-JP"/>
        </w:rPr>
      </w:pPr>
      <w:r w:rsidRPr="00556B07">
        <w:rPr>
          <w:rFonts w:cs="Times"/>
          <w:highlight w:val="green"/>
          <w:lang w:eastAsia="ja-JP"/>
        </w:rPr>
        <w:t xml:space="preserve">Agreement </w:t>
      </w:r>
    </w:p>
    <w:p w14:paraId="12AF5E56" w14:textId="77777777" w:rsidR="005004F4" w:rsidRPr="00556B07" w:rsidRDefault="005004F4" w:rsidP="005004F4">
      <w:pPr>
        <w:rPr>
          <w:rFonts w:cs="Times"/>
          <w:lang w:eastAsia="ja-JP"/>
        </w:rPr>
      </w:pPr>
      <w:r w:rsidRPr="00556B07">
        <w:rPr>
          <w:rFonts w:cs="Times"/>
          <w:lang w:eastAsia="ja-JP"/>
        </w:rPr>
        <w:t>FG 1-4 is kept as “A maximum DL TBS of 1736 bits for HD-FDD Cat. M1 Ues in CE mode A only” as follows.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454"/>
        <w:gridCol w:w="650"/>
        <w:gridCol w:w="1122"/>
        <w:gridCol w:w="659"/>
        <w:gridCol w:w="727"/>
        <w:gridCol w:w="727"/>
        <w:gridCol w:w="617"/>
        <w:gridCol w:w="372"/>
        <w:gridCol w:w="781"/>
        <w:gridCol w:w="814"/>
        <w:gridCol w:w="430"/>
        <w:gridCol w:w="843"/>
      </w:tblGrid>
      <w:tr w:rsidR="005004F4" w:rsidRPr="00556B07" w14:paraId="095B1418" w14:textId="77777777" w:rsidTr="007D067B">
        <w:tc>
          <w:tcPr>
            <w:tcW w:w="7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2CC4D" w14:textId="77777777" w:rsidR="005004F4" w:rsidRPr="00556B07" w:rsidRDefault="005004F4" w:rsidP="007D067B">
            <w:pPr>
              <w:rPr>
                <w:rFonts w:ascii="Arial" w:hAnsi="Arial" w:cs="Arial"/>
                <w:sz w:val="10"/>
                <w:szCs w:val="10"/>
                <w:lang w:eastAsia="ko-KR"/>
              </w:rPr>
            </w:pPr>
            <w:r w:rsidRPr="00556B07">
              <w:rPr>
                <w:rFonts w:ascii="Arial" w:hAnsi="Arial" w:cs="Arial"/>
                <w:sz w:val="10"/>
                <w:szCs w:val="10"/>
              </w:rPr>
              <w:t>1. NB_IOTenh4_LTE_eMTC6</w:t>
            </w:r>
          </w:p>
        </w:tc>
        <w:tc>
          <w:tcPr>
            <w:tcW w:w="2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4959F" w14:textId="77777777" w:rsidR="005004F4" w:rsidRPr="00556B07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56B07">
              <w:rPr>
                <w:rFonts w:ascii="Arial" w:hAnsi="Arial" w:cs="Arial"/>
                <w:sz w:val="10"/>
              </w:rPr>
              <w:t>1-4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C9ABF" w14:textId="77777777" w:rsidR="005004F4" w:rsidRPr="00556B07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56B07">
              <w:rPr>
                <w:rFonts w:ascii="Arial" w:hAnsi="Arial" w:cs="Arial"/>
                <w:sz w:val="10"/>
              </w:rPr>
              <w:t>A maximum DL TBS of 1736 bits for HD-FDD Cat. M1 Ues in CE mode A only</w:t>
            </w:r>
          </w:p>
        </w:tc>
        <w:tc>
          <w:tcPr>
            <w:tcW w:w="5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951C" w14:textId="77777777" w:rsidR="005004F4" w:rsidRPr="00556B07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56B07">
              <w:rPr>
                <w:rFonts w:ascii="Arial" w:hAnsi="Arial" w:cs="Arial"/>
                <w:sz w:val="10"/>
              </w:rPr>
              <w:t>1. Support of 1736 bits max DL TBS for unicast in HD-FDD in CE mode A in RRC_CONNECTED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A399A" w14:textId="77777777" w:rsidR="005004F4" w:rsidRPr="00556B07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56B07">
              <w:rPr>
                <w:rFonts w:ascii="Arial" w:hAnsi="Arial" w:cs="Arial"/>
                <w:color w:val="000000"/>
                <w:sz w:val="10"/>
              </w:rPr>
              <w:t>1. Category M1</w:t>
            </w:r>
          </w:p>
          <w:p w14:paraId="6700881C" w14:textId="77777777" w:rsidR="005004F4" w:rsidRPr="00556B07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56B07">
              <w:rPr>
                <w:rFonts w:ascii="Arial" w:hAnsi="Arial" w:cs="Arial"/>
                <w:color w:val="000000"/>
                <w:sz w:val="10"/>
              </w:rPr>
              <w:t>2. HD-FDD</w:t>
            </w:r>
          </w:p>
          <w:p w14:paraId="1A7278BC" w14:textId="77777777" w:rsidR="005004F4" w:rsidRPr="00556B07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56B07">
              <w:rPr>
                <w:rFonts w:ascii="Arial" w:hAnsi="Arial" w:cs="Arial"/>
                <w:color w:val="000000"/>
                <w:sz w:val="10"/>
              </w:rPr>
              <w:t>3. CE Mode A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E809D" w14:textId="77777777" w:rsidR="005004F4" w:rsidRPr="00556B07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56B07">
              <w:rPr>
                <w:rFonts w:ascii="Arial" w:hAnsi="Arial" w:cs="Arial"/>
                <w:sz w:val="10"/>
              </w:rPr>
              <w:t>Yes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8E957" w14:textId="77777777" w:rsidR="005004F4" w:rsidRPr="00556B07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56B07">
              <w:rPr>
                <w:rFonts w:ascii="Arial" w:hAnsi="Arial" w:cs="Arial"/>
                <w:sz w:val="10"/>
              </w:rPr>
              <w:t>N/A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C946F" w14:textId="77777777" w:rsidR="005004F4" w:rsidRPr="00556B07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56B07">
              <w:rPr>
                <w:rFonts w:ascii="Arial" w:hAnsi="Arial" w:cs="Arial"/>
                <w:sz w:val="10"/>
              </w:rPr>
              <w:t xml:space="preserve">The network cannot schedule a PDSCH with TBS larger than 1000 bits for </w:t>
            </w:r>
            <w:r w:rsidRPr="00556B07">
              <w:rPr>
                <w:rFonts w:ascii="Arial" w:hAnsi="Arial" w:cs="Arial"/>
                <w:sz w:val="10"/>
              </w:rPr>
              <w:lastRenderedPageBreak/>
              <w:t>Cat. M1 Ues</w:t>
            </w:r>
          </w:p>
        </w:tc>
        <w:tc>
          <w:tcPr>
            <w:tcW w:w="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3A65" w14:textId="77777777" w:rsidR="005004F4" w:rsidRPr="00556B07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56B07">
              <w:rPr>
                <w:rFonts w:ascii="Arial" w:hAnsi="Arial" w:cs="Arial"/>
                <w:color w:val="000000"/>
                <w:sz w:val="10"/>
              </w:rPr>
              <w:lastRenderedPageBreak/>
              <w:t>Per UE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806E3" w14:textId="77777777" w:rsidR="005004F4" w:rsidRPr="00556B07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56B07">
              <w:rPr>
                <w:rFonts w:ascii="Arial" w:hAnsi="Arial" w:cs="Arial"/>
                <w:sz w:val="10"/>
              </w:rPr>
              <w:t>FDD only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D1645" w14:textId="77777777" w:rsidR="005004F4" w:rsidRPr="00556B07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56B07">
              <w:rPr>
                <w:rFonts w:ascii="Arial" w:hAnsi="Arial" w:cs="Arial"/>
                <w:sz w:val="10"/>
              </w:rPr>
              <w:t>N/A</w:t>
            </w:r>
          </w:p>
        </w:tc>
        <w:tc>
          <w:tcPr>
            <w:tcW w:w="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2CCF" w14:textId="77777777" w:rsidR="005004F4" w:rsidRPr="00556B07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FCF93" w14:textId="77777777" w:rsidR="005004F4" w:rsidRPr="00556B07" w:rsidRDefault="005004F4" w:rsidP="007D067B">
            <w:pPr>
              <w:keepNext/>
              <w:rPr>
                <w:rFonts w:ascii="Arial" w:hAnsi="Arial" w:cs="Arial"/>
                <w:sz w:val="10"/>
              </w:rPr>
            </w:pPr>
            <w:r w:rsidRPr="00556B07">
              <w:rPr>
                <w:rFonts w:ascii="Arial" w:hAnsi="Arial" w:cs="Arial"/>
                <w:sz w:val="10"/>
              </w:rPr>
              <w:t>Optional with capability signaling</w:t>
            </w:r>
          </w:p>
        </w:tc>
      </w:tr>
    </w:tbl>
    <w:p w14:paraId="061EA075" w14:textId="77777777" w:rsidR="005004F4" w:rsidRDefault="005004F4" w:rsidP="005004F4">
      <w:pPr>
        <w:rPr>
          <w:lang w:val="en-US" w:eastAsia="x-none"/>
        </w:rPr>
      </w:pPr>
    </w:p>
    <w:p w14:paraId="5FFE63C5" w14:textId="77777777" w:rsidR="005004F4" w:rsidRDefault="005004F4" w:rsidP="005004F4">
      <w:pPr>
        <w:rPr>
          <w:lang w:val="en-US" w:eastAsia="x-none"/>
        </w:rPr>
      </w:pPr>
      <w:r>
        <w:rPr>
          <w:b/>
          <w:bCs/>
          <w:lang w:val="en-US" w:eastAsia="x-none"/>
        </w:rPr>
        <w:t>Decision:</w:t>
      </w:r>
      <w:r w:rsidRPr="00E8748B">
        <w:rPr>
          <w:lang w:val="en-US" w:eastAsia="x-none"/>
        </w:rPr>
        <w:t xml:space="preserve"> As per email decision posted on Oct </w:t>
      </w:r>
      <w:r>
        <w:rPr>
          <w:lang w:val="en-US" w:eastAsia="x-none"/>
        </w:rPr>
        <w:t>20</w:t>
      </w:r>
      <w:r w:rsidRPr="00E8748B">
        <w:rPr>
          <w:vertAlign w:val="superscript"/>
          <w:lang w:val="en-US" w:eastAsia="x-none"/>
        </w:rPr>
        <w:t>th</w:t>
      </w:r>
      <w:r w:rsidRPr="00E8748B">
        <w:rPr>
          <w:lang w:val="en-US" w:eastAsia="x-none"/>
        </w:rPr>
        <w:t>,</w:t>
      </w:r>
    </w:p>
    <w:p w14:paraId="3D467068" w14:textId="77777777" w:rsidR="005004F4" w:rsidRPr="00556B07" w:rsidRDefault="005004F4" w:rsidP="005004F4">
      <w:pPr>
        <w:rPr>
          <w:rFonts w:eastAsia="Yu Gothic" w:cs="Times"/>
          <w:highlight w:val="green"/>
          <w:lang w:val="en-US" w:eastAsia="ja-JP"/>
        </w:rPr>
      </w:pPr>
      <w:r w:rsidRPr="00556B07">
        <w:rPr>
          <w:rFonts w:cs="Times"/>
          <w:highlight w:val="green"/>
          <w:lang w:eastAsia="ja-JP"/>
        </w:rPr>
        <w:t xml:space="preserve">Agreement </w:t>
      </w:r>
    </w:p>
    <w:p w14:paraId="52531894" w14:textId="77777777" w:rsidR="005004F4" w:rsidRPr="00556B07" w:rsidRDefault="005004F4" w:rsidP="005004F4">
      <w:pPr>
        <w:rPr>
          <w:lang w:val="en-US" w:eastAsia="x-none"/>
        </w:rPr>
      </w:pPr>
      <w:r w:rsidRPr="00556B07">
        <w:rPr>
          <w:lang w:val="en-US" w:eastAsia="x-none"/>
        </w:rPr>
        <w:t>For component 3 in FG 1-3, select one of the following options:</w:t>
      </w:r>
    </w:p>
    <w:p w14:paraId="58E2B497" w14:textId="77777777" w:rsidR="005004F4" w:rsidRPr="00556B07" w:rsidRDefault="005004F4" w:rsidP="005D1E70">
      <w:pPr>
        <w:numPr>
          <w:ilvl w:val="0"/>
          <w:numId w:val="4"/>
        </w:numPr>
        <w:spacing w:after="0"/>
        <w:rPr>
          <w:lang w:val="en-US" w:eastAsia="x-none"/>
        </w:rPr>
      </w:pPr>
      <w:r w:rsidRPr="00556B07">
        <w:rPr>
          <w:lang w:val="en-US" w:eastAsia="x-none"/>
        </w:rPr>
        <w:t>Option 1: UE reports one of {alt1, alt2-e, both}</w:t>
      </w:r>
    </w:p>
    <w:p w14:paraId="0C36E1FF" w14:textId="77777777" w:rsidR="005004F4" w:rsidRPr="00556B07" w:rsidRDefault="005004F4" w:rsidP="005D1E70">
      <w:pPr>
        <w:numPr>
          <w:ilvl w:val="0"/>
          <w:numId w:val="4"/>
        </w:numPr>
        <w:spacing w:after="0"/>
        <w:rPr>
          <w:lang w:val="en-US" w:eastAsia="x-none"/>
        </w:rPr>
      </w:pPr>
      <w:r w:rsidRPr="00556B07">
        <w:rPr>
          <w:lang w:val="en-US" w:eastAsia="x-none"/>
        </w:rPr>
        <w:t>Option 2: UE supports both Alt-1 and Alt-2e</w:t>
      </w:r>
    </w:p>
    <w:p w14:paraId="30889EA6" w14:textId="77777777" w:rsidR="005004F4" w:rsidRPr="00556B07" w:rsidRDefault="005004F4" w:rsidP="005004F4">
      <w:pPr>
        <w:rPr>
          <w:lang w:val="en-US" w:eastAsia="x-none"/>
        </w:rPr>
      </w:pPr>
    </w:p>
    <w:p w14:paraId="043B03D3" w14:textId="77777777" w:rsidR="005004F4" w:rsidRPr="00556B07" w:rsidRDefault="005004F4" w:rsidP="005004F4">
      <w:pPr>
        <w:rPr>
          <w:rFonts w:eastAsia="Yu Gothic" w:cs="Times"/>
          <w:highlight w:val="green"/>
          <w:lang w:val="en-US" w:eastAsia="ja-JP"/>
        </w:rPr>
      </w:pPr>
      <w:r w:rsidRPr="00556B07">
        <w:rPr>
          <w:rFonts w:cs="Times"/>
          <w:highlight w:val="green"/>
          <w:lang w:eastAsia="ja-JP"/>
        </w:rPr>
        <w:t xml:space="preserve">Agreement </w:t>
      </w:r>
    </w:p>
    <w:p w14:paraId="670E6DFF" w14:textId="77777777" w:rsidR="005004F4" w:rsidRPr="00556B07" w:rsidRDefault="005004F4" w:rsidP="005004F4">
      <w:pPr>
        <w:rPr>
          <w:lang w:val="en-US" w:eastAsia="x-none"/>
        </w:rPr>
      </w:pPr>
      <w:r w:rsidRPr="00556B07">
        <w:rPr>
          <w:lang w:val="en-US" w:eastAsia="x-none"/>
        </w:rPr>
        <w:t>Following features are removed from the prerequisite feature groups for FG 1-3</w:t>
      </w:r>
    </w:p>
    <w:p w14:paraId="2F9EC041" w14:textId="77777777" w:rsidR="005004F4" w:rsidRPr="00556B07" w:rsidRDefault="005004F4" w:rsidP="005D1E70">
      <w:pPr>
        <w:numPr>
          <w:ilvl w:val="0"/>
          <w:numId w:val="3"/>
        </w:numPr>
        <w:spacing w:after="0"/>
        <w:rPr>
          <w:lang w:val="en-US" w:eastAsia="x-none"/>
        </w:rPr>
      </w:pPr>
      <w:r w:rsidRPr="00556B07">
        <w:rPr>
          <w:lang w:val="en-US" w:eastAsia="x-none"/>
        </w:rPr>
        <w:t xml:space="preserve">CE Mode A </w:t>
      </w:r>
    </w:p>
    <w:p w14:paraId="784257AD" w14:textId="77777777" w:rsidR="005004F4" w:rsidRPr="00556B07" w:rsidRDefault="005004F4" w:rsidP="005D1E70">
      <w:pPr>
        <w:numPr>
          <w:ilvl w:val="0"/>
          <w:numId w:val="3"/>
        </w:numPr>
        <w:spacing w:after="0"/>
        <w:rPr>
          <w:lang w:val="en-US" w:eastAsia="x-none"/>
        </w:rPr>
      </w:pPr>
      <w:r w:rsidRPr="00556B07">
        <w:rPr>
          <w:lang w:val="en-US" w:eastAsia="x-none"/>
        </w:rPr>
        <w:t>Support of 10 DL HARQ processes in HD-FDD in CE mode A</w:t>
      </w:r>
    </w:p>
    <w:p w14:paraId="242A6E6D" w14:textId="77777777" w:rsidR="005004F4" w:rsidRPr="00556B07" w:rsidRDefault="005004F4" w:rsidP="005D1E70">
      <w:pPr>
        <w:numPr>
          <w:ilvl w:val="0"/>
          <w:numId w:val="3"/>
        </w:numPr>
        <w:spacing w:after="0"/>
        <w:rPr>
          <w:lang w:val="en-US" w:eastAsia="x-none"/>
        </w:rPr>
      </w:pPr>
      <w:r w:rsidRPr="00556B07">
        <w:rPr>
          <w:lang w:val="en-US" w:eastAsia="x-none"/>
        </w:rPr>
        <w:t>HARQ-ACK bundling support in HD-FDD in CE mode A</w:t>
      </w:r>
    </w:p>
    <w:p w14:paraId="0ADB18B4" w14:textId="77777777" w:rsidR="005004F4" w:rsidRPr="00556B07" w:rsidRDefault="005004F4" w:rsidP="005004F4">
      <w:pPr>
        <w:rPr>
          <w:lang w:val="en-US" w:eastAsia="x-none"/>
        </w:rPr>
      </w:pPr>
    </w:p>
    <w:p w14:paraId="124F6159" w14:textId="77777777" w:rsidR="005004F4" w:rsidRPr="00556B07" w:rsidRDefault="005004F4" w:rsidP="005004F4">
      <w:pPr>
        <w:rPr>
          <w:rFonts w:eastAsia="Yu Gothic" w:cs="Times"/>
          <w:highlight w:val="green"/>
          <w:lang w:val="en-US" w:eastAsia="ja-JP"/>
        </w:rPr>
      </w:pPr>
      <w:r w:rsidRPr="00556B07">
        <w:rPr>
          <w:rFonts w:cs="Times"/>
          <w:highlight w:val="green"/>
          <w:lang w:eastAsia="ja-JP"/>
        </w:rPr>
        <w:t xml:space="preserve">Agreement </w:t>
      </w:r>
    </w:p>
    <w:p w14:paraId="0A565067" w14:textId="77777777" w:rsidR="005004F4" w:rsidRPr="00E215CB" w:rsidRDefault="005004F4" w:rsidP="005004F4">
      <w:pPr>
        <w:rPr>
          <w:lang w:val="en-US" w:eastAsia="x-none"/>
        </w:rPr>
      </w:pPr>
      <w:r w:rsidRPr="00961A53">
        <w:rPr>
          <w:lang w:val="en-US" w:eastAsia="x-none"/>
        </w:rPr>
        <w:t>CE Mode A is removed from the prerequisite feature groups for FG 1-4</w:t>
      </w:r>
      <w:r>
        <w:rPr>
          <w:lang w:val="en-US" w:eastAsia="x-none"/>
        </w:rPr>
        <w:t>.</w:t>
      </w:r>
    </w:p>
    <w:p w14:paraId="41C8372D" w14:textId="77777777" w:rsidR="0019587B" w:rsidRDefault="0019587B" w:rsidP="002F6C8E">
      <w:pPr>
        <w:rPr>
          <w:lang w:val="en-US"/>
        </w:rPr>
      </w:pPr>
    </w:p>
    <w:p w14:paraId="44013317" w14:textId="38F97E5B" w:rsidR="005004F4" w:rsidRDefault="0019587B" w:rsidP="002F6C8E">
      <w:pPr>
        <w:rPr>
          <w:lang w:val="en-US"/>
        </w:rPr>
      </w:pPr>
      <w:r>
        <w:rPr>
          <w:lang w:val="en-US"/>
        </w:rPr>
        <w:t>In RAN1#107-e, the following was agreed</w:t>
      </w:r>
    </w:p>
    <w:p w14:paraId="06A475B9" w14:textId="77777777" w:rsidR="0019587B" w:rsidRDefault="0019587B" w:rsidP="0019587B">
      <w:pPr>
        <w:spacing w:afterLines="50" w:after="120"/>
        <w:jc w:val="both"/>
        <w:rPr>
          <w:b/>
          <w:bCs/>
          <w:szCs w:val="21"/>
          <w:u w:val="single"/>
          <w:lang w:val="en-US"/>
        </w:rPr>
      </w:pPr>
      <w:bookmarkStart w:id="2" w:name="_Hlk87988427"/>
      <w:r>
        <w:rPr>
          <w:b/>
          <w:bCs/>
          <w:szCs w:val="21"/>
          <w:u w:val="single"/>
          <w:lang w:val="en-US"/>
        </w:rPr>
        <w:t>Conclusion:</w:t>
      </w:r>
    </w:p>
    <w:p w14:paraId="6E44E2D1" w14:textId="77777777" w:rsidR="0019587B" w:rsidRDefault="0019587B" w:rsidP="0019587B">
      <w:pPr>
        <w:pStyle w:val="ListParagraph"/>
        <w:numPr>
          <w:ilvl w:val="0"/>
          <w:numId w:val="6"/>
        </w:numPr>
        <w:tabs>
          <w:tab w:val="left" w:pos="1800"/>
        </w:tabs>
        <w:overflowPunct/>
        <w:autoSpaceDE/>
        <w:autoSpaceDN/>
        <w:adjustRightInd/>
        <w:spacing w:afterLines="50" w:after="120" w:line="259" w:lineRule="auto"/>
        <w:contextualSpacing w:val="0"/>
        <w:jc w:val="both"/>
        <w:textAlignment w:val="auto"/>
        <w:rPr>
          <w:sz w:val="22"/>
        </w:rPr>
      </w:pPr>
      <w:r>
        <w:rPr>
          <w:szCs w:val="21"/>
          <w:lang w:val="en-US"/>
        </w:rPr>
        <w:t>It is RAN1 assumption that 16-QAM for unicast in DL is compatible with all other NB-IoT features in connected-mode plus PUR, to be captured in the note column in FG 1-1</w:t>
      </w:r>
    </w:p>
    <w:p w14:paraId="63BE56FF" w14:textId="77777777" w:rsidR="0019587B" w:rsidRDefault="0019587B" w:rsidP="0019587B">
      <w:pPr>
        <w:pStyle w:val="ListParagraph"/>
        <w:numPr>
          <w:ilvl w:val="0"/>
          <w:numId w:val="6"/>
        </w:numPr>
        <w:tabs>
          <w:tab w:val="left" w:pos="1800"/>
        </w:tabs>
        <w:overflowPunct/>
        <w:autoSpaceDE/>
        <w:autoSpaceDN/>
        <w:adjustRightInd/>
        <w:spacing w:afterLines="50" w:after="120" w:line="259" w:lineRule="auto"/>
        <w:contextualSpacing w:val="0"/>
        <w:jc w:val="both"/>
        <w:textAlignment w:val="auto"/>
        <w:rPr>
          <w:sz w:val="22"/>
        </w:rPr>
      </w:pPr>
      <w:r>
        <w:rPr>
          <w:szCs w:val="21"/>
          <w:lang w:val="en-US"/>
        </w:rPr>
        <w:t>It is RAN1 assumption that 16-QAM for unicast in UL is compatible with all other NB-IoT features in connected-mode plus PUR, to be captured in the note column in FG 1-2</w:t>
      </w:r>
    </w:p>
    <w:bookmarkEnd w:id="2"/>
    <w:p w14:paraId="181C6435" w14:textId="77777777" w:rsidR="0019587B" w:rsidRDefault="0019587B" w:rsidP="0019587B">
      <w:pPr>
        <w:spacing w:afterLines="50" w:after="120"/>
        <w:jc w:val="both"/>
        <w:rPr>
          <w:sz w:val="22"/>
        </w:rPr>
      </w:pPr>
    </w:p>
    <w:p w14:paraId="143D0A7E" w14:textId="77777777" w:rsidR="0019587B" w:rsidRDefault="0019587B" w:rsidP="0019587B">
      <w:pPr>
        <w:spacing w:afterLines="50" w:after="120"/>
        <w:jc w:val="both"/>
        <w:rPr>
          <w:b/>
          <w:bCs/>
          <w:szCs w:val="21"/>
          <w:lang w:val="en-US"/>
        </w:rPr>
      </w:pPr>
      <w:r w:rsidRPr="00FA44A0">
        <w:rPr>
          <w:b/>
          <w:bCs/>
          <w:szCs w:val="21"/>
          <w:highlight w:val="green"/>
          <w:lang w:val="en-US"/>
        </w:rPr>
        <w:t>Agreement</w:t>
      </w:r>
    </w:p>
    <w:p w14:paraId="04C830F6" w14:textId="77777777" w:rsidR="0019587B" w:rsidRPr="004813BD" w:rsidRDefault="0019587B" w:rsidP="0019587B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Lines="50" w:after="120" w:line="259" w:lineRule="auto"/>
        <w:contextualSpacing w:val="0"/>
        <w:jc w:val="both"/>
        <w:textAlignment w:val="auto"/>
        <w:rPr>
          <w:sz w:val="22"/>
        </w:rPr>
      </w:pPr>
      <w:r w:rsidRPr="004813BD">
        <w:rPr>
          <w:szCs w:val="21"/>
          <w:lang w:val="en-US"/>
        </w:rPr>
        <w:t xml:space="preserve">For component 3 in FG 1-3, UE reports one of </w:t>
      </w:r>
      <w:r w:rsidRPr="004813BD">
        <w:rPr>
          <w:rFonts w:eastAsia="MS PGothic"/>
          <w:lang w:val="en-US"/>
        </w:rPr>
        <w:t>{Alt-1, Alt-1 and Alt-2e}</w:t>
      </w:r>
    </w:p>
    <w:p w14:paraId="56714E10" w14:textId="53CC8FF5" w:rsidR="0019587B" w:rsidRPr="0019587B" w:rsidRDefault="0019587B" w:rsidP="002F6C8E"/>
    <w:p w14:paraId="69BB832B" w14:textId="77777777" w:rsidR="0019587B" w:rsidRDefault="0019587B" w:rsidP="002F6C8E">
      <w:pPr>
        <w:rPr>
          <w:lang w:val="en-US"/>
        </w:rPr>
      </w:pPr>
    </w:p>
    <w:p w14:paraId="0196A2AD" w14:textId="1563DA03" w:rsidR="005004F4" w:rsidRDefault="005004F4" w:rsidP="002F6C8E">
      <w:pPr>
        <w:rPr>
          <w:lang w:val="en-US"/>
        </w:rPr>
      </w:pPr>
      <w:r>
        <w:rPr>
          <w:lang w:val="en-US"/>
        </w:rPr>
        <w:t xml:space="preserve">In this contribution we present our views on </w:t>
      </w:r>
      <w:r w:rsidR="00C84F03">
        <w:rPr>
          <w:lang w:val="en-US"/>
        </w:rPr>
        <w:t xml:space="preserve">the remaining issues for </w:t>
      </w:r>
      <w:r w:rsidR="00DF4FF9">
        <w:rPr>
          <w:lang w:val="en-US"/>
        </w:rPr>
        <w:t>UE features for eMTC/NB-IOT.</w:t>
      </w:r>
    </w:p>
    <w:p w14:paraId="57990D2B" w14:textId="2C356DBF" w:rsidR="005004F4" w:rsidRDefault="005004F4" w:rsidP="005004F4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General principles</w:t>
      </w:r>
    </w:p>
    <w:p w14:paraId="7AD6CD87" w14:textId="07A9C7F5" w:rsidR="005004F4" w:rsidRDefault="005004F4" w:rsidP="002F6C8E">
      <w:pPr>
        <w:rPr>
          <w:lang w:val="en-US"/>
        </w:rPr>
      </w:pPr>
      <w:r>
        <w:rPr>
          <w:lang w:val="en-US"/>
        </w:rPr>
        <w:t>One of the most contentious issues in the last meeting was whether the features for eMTC and NB-IoT were “per UE” or “per band”.</w:t>
      </w:r>
    </w:p>
    <w:p w14:paraId="58DBE1EB" w14:textId="65B27441" w:rsidR="005004F4" w:rsidRDefault="005004F4" w:rsidP="005004F4">
      <w:pPr>
        <w:rPr>
          <w:lang w:val="en-US"/>
        </w:rPr>
      </w:pPr>
      <w:r>
        <w:rPr>
          <w:lang w:val="en-US"/>
        </w:rPr>
        <w:t>In our view, the newly introduced features should be “per band” for the following reason: with the introduction of NTN IOT, there should be a way to differentiate the capability of using 16-QAM or 14 HARQ processes for terrestrial and non-terrestrial cases. “Per band” capability indication allows for this indication.</w:t>
      </w:r>
    </w:p>
    <w:p w14:paraId="0A22D994" w14:textId="2BC1FC93" w:rsidR="00A42CAB" w:rsidRPr="00A42CAB" w:rsidRDefault="00A42CAB" w:rsidP="005004F4">
      <w:pPr>
        <w:rPr>
          <w:b/>
          <w:bCs/>
          <w:lang w:val="en-US"/>
        </w:rPr>
      </w:pPr>
      <w:r>
        <w:rPr>
          <w:b/>
          <w:bCs/>
          <w:u w:val="single"/>
          <w:lang w:val="en-US"/>
        </w:rPr>
        <w:t>Observation</w:t>
      </w:r>
      <w:r w:rsidRPr="00A42CAB">
        <w:rPr>
          <w:b/>
          <w:bCs/>
          <w:u w:val="single"/>
          <w:lang w:val="en-US"/>
        </w:rPr>
        <w:t xml:space="preserve"> 1:</w:t>
      </w:r>
      <w:r>
        <w:rPr>
          <w:b/>
          <w:bCs/>
          <w:lang w:val="en-US"/>
        </w:rPr>
        <w:t xml:space="preserve"> All the IOT features should be “per band” to allow differentiation of support of a feature in terrestrial and non-terrestrial networks.</w:t>
      </w:r>
    </w:p>
    <w:p w14:paraId="60F5FA88" w14:textId="77777777" w:rsidR="005004F4" w:rsidRDefault="005004F4" w:rsidP="002F6C8E">
      <w:pPr>
        <w:rPr>
          <w:lang w:val="en-US"/>
        </w:rPr>
      </w:pPr>
    </w:p>
    <w:p w14:paraId="0EE59E78" w14:textId="3D41D34E" w:rsidR="005004F4" w:rsidRDefault="005004F4" w:rsidP="005004F4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lastRenderedPageBreak/>
        <w:t>NB-IoT features</w:t>
      </w:r>
    </w:p>
    <w:p w14:paraId="54083D82" w14:textId="721DAE93" w:rsidR="005004F4" w:rsidRDefault="00A42CAB" w:rsidP="005004F4">
      <w:pPr>
        <w:rPr>
          <w:lang w:val="en-US"/>
        </w:rPr>
      </w:pPr>
      <w:r w:rsidRPr="00A42CAB">
        <w:rPr>
          <w:lang w:val="en-US"/>
        </w:rPr>
        <w:t>For support of 16-QAM</w:t>
      </w:r>
      <w:r>
        <w:rPr>
          <w:lang w:val="en-US"/>
        </w:rPr>
        <w:t xml:space="preserve">, in line with the observation above, we propose the type of this feature to be “per band”. </w:t>
      </w:r>
    </w:p>
    <w:p w14:paraId="77BF356F" w14:textId="00C9E634" w:rsidR="00A42CAB" w:rsidRDefault="00A42CAB" w:rsidP="005004F4">
      <w:pPr>
        <w:rPr>
          <w:lang w:val="en-US"/>
        </w:rPr>
      </w:pPr>
      <w:r>
        <w:rPr>
          <w:lang w:val="en-US"/>
        </w:rPr>
        <w:t xml:space="preserve">For the particular case of 16-QAM, there is an additional reason to make this feature “per band”: different frequency bands may have different difficulties to meet the necessary RF requirements to support 16-QAM (e.g. in terms of transmit / receive EVM). </w:t>
      </w:r>
    </w:p>
    <w:p w14:paraId="5C910060" w14:textId="13090F66" w:rsidR="0019587B" w:rsidRPr="00A42CAB" w:rsidRDefault="0019587B" w:rsidP="005004F4">
      <w:pPr>
        <w:rPr>
          <w:lang w:val="en-US"/>
        </w:rPr>
      </w:pPr>
      <w:r>
        <w:rPr>
          <w:lang w:val="en-US"/>
        </w:rPr>
        <w:t>Additionally, the signaling of “per band” capability prevents potential issues in the field in the case there is lack of IODT opportunities with multiple infrastructure vendors when initially deploying the feature: a second vendor with which the UE has not been tested against may think the feature is tested, which may lead to malfunctioning in the field.</w:t>
      </w:r>
    </w:p>
    <w:p w14:paraId="19FD60C2" w14:textId="6B7942AC" w:rsidR="005004F4" w:rsidRPr="005004F4" w:rsidRDefault="005004F4" w:rsidP="005004F4">
      <w:pPr>
        <w:rPr>
          <w:b/>
          <w:bCs/>
          <w:lang w:val="en-US"/>
        </w:rPr>
      </w:pPr>
      <w:r w:rsidRPr="005004F4">
        <w:rPr>
          <w:b/>
          <w:bCs/>
          <w:u w:val="single"/>
          <w:lang w:val="en-US"/>
        </w:rPr>
        <w:t xml:space="preserve">Proposal </w:t>
      </w:r>
      <w:r w:rsidR="00AB2B11">
        <w:rPr>
          <w:b/>
          <w:bCs/>
          <w:u w:val="single"/>
          <w:lang w:val="en-US"/>
        </w:rPr>
        <w:t>1:</w:t>
      </w:r>
      <w:r>
        <w:rPr>
          <w:b/>
          <w:bCs/>
          <w:lang w:val="en-US"/>
        </w:rPr>
        <w:t xml:space="preserve"> The capability for 16-QAM for NPUSCH and NPDSCH</w:t>
      </w:r>
      <w:r w:rsidR="00A42CAB">
        <w:rPr>
          <w:b/>
          <w:bCs/>
          <w:lang w:val="en-US"/>
        </w:rPr>
        <w:t xml:space="preserve"> (FG1-1 and 1-2)</w:t>
      </w:r>
      <w:r>
        <w:rPr>
          <w:b/>
          <w:bCs/>
          <w:lang w:val="en-US"/>
        </w:rPr>
        <w:t xml:space="preserve"> is “per band”</w:t>
      </w:r>
      <w:r w:rsidR="00137F00">
        <w:rPr>
          <w:b/>
          <w:bCs/>
          <w:lang w:val="en-US"/>
        </w:rPr>
        <w:t>.</w:t>
      </w:r>
    </w:p>
    <w:p w14:paraId="45C823AA" w14:textId="2A0D0A39" w:rsidR="005004F4" w:rsidRDefault="005004F4" w:rsidP="005004F4">
      <w:pPr>
        <w:rPr>
          <w:lang w:val="en-US"/>
        </w:rPr>
      </w:pPr>
    </w:p>
    <w:p w14:paraId="38ABC28D" w14:textId="092230FA" w:rsidR="005004F4" w:rsidRPr="00F752F5" w:rsidRDefault="005004F4" w:rsidP="005004F4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eMTC features</w:t>
      </w:r>
    </w:p>
    <w:p w14:paraId="762637C5" w14:textId="5FEA3FD4" w:rsidR="00A42CAB" w:rsidRPr="00A42CAB" w:rsidRDefault="0019587B" w:rsidP="005004F4">
      <w:pPr>
        <w:rPr>
          <w:lang w:val="en-US"/>
        </w:rPr>
      </w:pPr>
      <w:r>
        <w:rPr>
          <w:lang w:val="en-US"/>
        </w:rPr>
        <w:t>Similar to the points above, the eMTC features 1-3 and 1-4 shall be indicated “per band” due to NTN/TN differentiation and robustness against lack of IODT opportunities.</w:t>
      </w:r>
    </w:p>
    <w:p w14:paraId="28A13E1A" w14:textId="6EAB8EC5" w:rsidR="005004F4" w:rsidRPr="00A42CAB" w:rsidRDefault="00A42CAB" w:rsidP="005004F4">
      <w:pPr>
        <w:rPr>
          <w:b/>
          <w:bCs/>
          <w:lang w:val="en-US"/>
        </w:rPr>
      </w:pPr>
      <w:r w:rsidRPr="00A42CAB">
        <w:rPr>
          <w:b/>
          <w:bCs/>
          <w:u w:val="single"/>
          <w:lang w:val="en-US"/>
        </w:rPr>
        <w:t xml:space="preserve">Proposal </w:t>
      </w:r>
      <w:r w:rsidR="00F56EF3">
        <w:rPr>
          <w:b/>
          <w:bCs/>
          <w:u w:val="single"/>
          <w:lang w:val="en-US"/>
        </w:rPr>
        <w:t>2</w:t>
      </w:r>
      <w:r w:rsidRPr="00A42CAB">
        <w:rPr>
          <w:b/>
          <w:bCs/>
          <w:u w:val="single"/>
          <w:lang w:val="en-US"/>
        </w:rPr>
        <w:t>:</w:t>
      </w:r>
      <w:r>
        <w:rPr>
          <w:b/>
          <w:bCs/>
          <w:u w:val="single"/>
          <w:lang w:val="en-US"/>
        </w:rPr>
        <w:t xml:space="preserve"> </w:t>
      </w:r>
      <w:r>
        <w:rPr>
          <w:b/>
          <w:bCs/>
          <w:lang w:val="en-US"/>
        </w:rPr>
        <w:t>FG 1-3 and 1-4 are “per band”</w:t>
      </w:r>
      <w:r w:rsidR="00137F00">
        <w:rPr>
          <w:b/>
          <w:bCs/>
          <w:lang w:val="en-US"/>
        </w:rPr>
        <w:t>.</w:t>
      </w:r>
    </w:p>
    <w:p w14:paraId="0C22D83C" w14:textId="2ABCC979" w:rsidR="005004F4" w:rsidRDefault="005004F4" w:rsidP="002F6C8E">
      <w:pPr>
        <w:rPr>
          <w:lang w:val="en-US"/>
        </w:rPr>
      </w:pPr>
    </w:p>
    <w:p w14:paraId="74058703" w14:textId="4D735F62" w:rsidR="00137F00" w:rsidRDefault="00137F00" w:rsidP="00137F00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Summary of proposals</w:t>
      </w:r>
    </w:p>
    <w:p w14:paraId="5E1F1475" w14:textId="504919F2" w:rsidR="00137F00" w:rsidRDefault="00137F00" w:rsidP="00137F00">
      <w:pPr>
        <w:rPr>
          <w:lang w:val="en-US"/>
        </w:rPr>
      </w:pPr>
      <w:r>
        <w:rPr>
          <w:lang w:val="en-US"/>
        </w:rPr>
        <w:t>In this contribution we presented our views on UE features for NB-IOT and eMTC. We made the following observations and proposals.</w:t>
      </w:r>
    </w:p>
    <w:p w14:paraId="1F752BF0" w14:textId="77777777" w:rsidR="00137F00" w:rsidRPr="00137F00" w:rsidRDefault="00137F00" w:rsidP="00137F00">
      <w:pPr>
        <w:rPr>
          <w:lang w:val="en-US"/>
        </w:rPr>
      </w:pPr>
    </w:p>
    <w:p w14:paraId="3761E26C" w14:textId="6D23538D" w:rsidR="00137F00" w:rsidRDefault="00137F00" w:rsidP="00137F00">
      <w:pPr>
        <w:rPr>
          <w:b/>
          <w:bCs/>
          <w:lang w:val="en-US"/>
        </w:rPr>
      </w:pPr>
      <w:r>
        <w:rPr>
          <w:b/>
          <w:bCs/>
          <w:u w:val="single"/>
          <w:lang w:val="en-US"/>
        </w:rPr>
        <w:t>Observation</w:t>
      </w:r>
      <w:r w:rsidRPr="00A42CAB">
        <w:rPr>
          <w:b/>
          <w:bCs/>
          <w:u w:val="single"/>
          <w:lang w:val="en-US"/>
        </w:rPr>
        <w:t xml:space="preserve"> 1:</w:t>
      </w:r>
      <w:r>
        <w:rPr>
          <w:b/>
          <w:bCs/>
          <w:lang w:val="en-US"/>
        </w:rPr>
        <w:t xml:space="preserve"> All the IOT features should be “per band” to allow differentiation of support of a feature in terrestrial and non-terrestrial networks.</w:t>
      </w:r>
    </w:p>
    <w:p w14:paraId="7F493F5B" w14:textId="77777777" w:rsidR="00137F00" w:rsidRPr="00A42CAB" w:rsidRDefault="00137F00" w:rsidP="00137F00">
      <w:pPr>
        <w:rPr>
          <w:b/>
          <w:bCs/>
          <w:lang w:val="en-US"/>
        </w:rPr>
      </w:pPr>
    </w:p>
    <w:p w14:paraId="6EC0D65C" w14:textId="5952AB68" w:rsidR="00137F00" w:rsidRDefault="00137F00" w:rsidP="00137F00">
      <w:pPr>
        <w:rPr>
          <w:b/>
          <w:bCs/>
          <w:lang w:val="en-US"/>
        </w:rPr>
      </w:pPr>
      <w:r w:rsidRPr="005004F4">
        <w:rPr>
          <w:b/>
          <w:bCs/>
          <w:u w:val="single"/>
          <w:lang w:val="en-US"/>
        </w:rPr>
        <w:t xml:space="preserve">Proposal </w:t>
      </w:r>
      <w:r w:rsidR="00AB2B11">
        <w:rPr>
          <w:b/>
          <w:bCs/>
          <w:u w:val="single"/>
          <w:lang w:val="en-US"/>
        </w:rPr>
        <w:t>1:</w:t>
      </w:r>
      <w:r>
        <w:rPr>
          <w:b/>
          <w:bCs/>
          <w:lang w:val="en-US"/>
        </w:rPr>
        <w:t xml:space="preserve"> The capability for 16-QAM for NPUSCH and NPDSCH (FG1-1 and 1-2) is “per band”.</w:t>
      </w:r>
    </w:p>
    <w:p w14:paraId="6BE79680" w14:textId="77777777" w:rsidR="00137F00" w:rsidRPr="005004F4" w:rsidRDefault="00137F00" w:rsidP="00137F00">
      <w:pPr>
        <w:rPr>
          <w:b/>
          <w:bCs/>
          <w:lang w:val="en-US"/>
        </w:rPr>
      </w:pPr>
    </w:p>
    <w:p w14:paraId="07AE99A6" w14:textId="5ACC9A27" w:rsidR="00137F00" w:rsidRPr="00A42CAB" w:rsidRDefault="00137F00" w:rsidP="00137F00">
      <w:pPr>
        <w:rPr>
          <w:b/>
          <w:bCs/>
          <w:lang w:val="en-US"/>
        </w:rPr>
      </w:pPr>
      <w:r w:rsidRPr="00A42CAB">
        <w:rPr>
          <w:b/>
          <w:bCs/>
          <w:u w:val="single"/>
          <w:lang w:val="en-US"/>
        </w:rPr>
        <w:t xml:space="preserve">Proposal </w:t>
      </w:r>
      <w:r w:rsidR="0019587B">
        <w:rPr>
          <w:b/>
          <w:bCs/>
          <w:u w:val="single"/>
          <w:lang w:val="en-US"/>
        </w:rPr>
        <w:t>2</w:t>
      </w:r>
      <w:r w:rsidRPr="00A42CAB">
        <w:rPr>
          <w:b/>
          <w:bCs/>
          <w:u w:val="single"/>
          <w:lang w:val="en-US"/>
        </w:rPr>
        <w:t>:</w:t>
      </w:r>
      <w:r>
        <w:rPr>
          <w:b/>
          <w:bCs/>
          <w:u w:val="single"/>
          <w:lang w:val="en-US"/>
        </w:rPr>
        <w:t xml:space="preserve"> </w:t>
      </w:r>
      <w:r>
        <w:rPr>
          <w:b/>
          <w:bCs/>
          <w:lang w:val="en-US"/>
        </w:rPr>
        <w:t>FG 1-3 and 1-4 are “per band”.</w:t>
      </w:r>
    </w:p>
    <w:p w14:paraId="2789FEED" w14:textId="77777777" w:rsidR="00137F00" w:rsidRDefault="00137F00" w:rsidP="002F6C8E">
      <w:pPr>
        <w:rPr>
          <w:lang w:val="en-US"/>
        </w:rPr>
      </w:pPr>
    </w:p>
    <w:sectPr w:rsidR="00137F00" w:rsidSect="007544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38F62" w14:textId="77777777" w:rsidR="00BB2731" w:rsidRDefault="00BB2731">
      <w:pPr>
        <w:spacing w:after="0"/>
      </w:pPr>
      <w:r>
        <w:separator/>
      </w:r>
    </w:p>
  </w:endnote>
  <w:endnote w:type="continuationSeparator" w:id="0">
    <w:p w14:paraId="34D30D0A" w14:textId="77777777" w:rsidR="00BB2731" w:rsidRDefault="00BB2731">
      <w:pPr>
        <w:spacing w:after="0"/>
      </w:pPr>
      <w:r>
        <w:continuationSeparator/>
      </w:r>
    </w:p>
  </w:endnote>
  <w:endnote w:type="continuationNotice" w:id="1">
    <w:p w14:paraId="0BF3B37D" w14:textId="77777777" w:rsidR="00BB2731" w:rsidRDefault="00BB27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1D0962" w:rsidRDefault="001D0962" w:rsidP="007544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1D0962" w:rsidRDefault="001D0962" w:rsidP="007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1D0962" w:rsidRDefault="001D0962" w:rsidP="007544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1D0962" w:rsidRDefault="001D0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8D71C" w14:textId="77777777" w:rsidR="00BB2731" w:rsidRDefault="00BB2731">
      <w:pPr>
        <w:spacing w:after="0"/>
      </w:pPr>
      <w:r>
        <w:separator/>
      </w:r>
    </w:p>
  </w:footnote>
  <w:footnote w:type="continuationSeparator" w:id="0">
    <w:p w14:paraId="4A2989AF" w14:textId="77777777" w:rsidR="00BB2731" w:rsidRDefault="00BB2731">
      <w:pPr>
        <w:spacing w:after="0"/>
      </w:pPr>
      <w:r>
        <w:continuationSeparator/>
      </w:r>
    </w:p>
  </w:footnote>
  <w:footnote w:type="continuationNotice" w:id="1">
    <w:p w14:paraId="60891030" w14:textId="77777777" w:rsidR="00BB2731" w:rsidRDefault="00BB27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1D0962" w:rsidRDefault="001D0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1D0962" w:rsidRDefault="001D0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1D0962" w:rsidRDefault="001D0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8F66EDB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F408B8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6B585C"/>
    <w:multiLevelType w:val="hybridMultilevel"/>
    <w:tmpl w:val="C4F478A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2506782"/>
    <w:multiLevelType w:val="hybridMultilevel"/>
    <w:tmpl w:val="4CB08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10D34"/>
    <w:rsid w:val="00022216"/>
    <w:rsid w:val="00037582"/>
    <w:rsid w:val="00042869"/>
    <w:rsid w:val="0004422F"/>
    <w:rsid w:val="00045245"/>
    <w:rsid w:val="00054E5C"/>
    <w:rsid w:val="00063DAE"/>
    <w:rsid w:val="000674B3"/>
    <w:rsid w:val="00081CDD"/>
    <w:rsid w:val="00122D19"/>
    <w:rsid w:val="00124E5D"/>
    <w:rsid w:val="00125DAC"/>
    <w:rsid w:val="00137F00"/>
    <w:rsid w:val="00146E52"/>
    <w:rsid w:val="00153734"/>
    <w:rsid w:val="00154C05"/>
    <w:rsid w:val="00154E51"/>
    <w:rsid w:val="001567AB"/>
    <w:rsid w:val="0015790E"/>
    <w:rsid w:val="00177940"/>
    <w:rsid w:val="0019587B"/>
    <w:rsid w:val="001A452F"/>
    <w:rsid w:val="001B159B"/>
    <w:rsid w:val="001B1EC7"/>
    <w:rsid w:val="001D0962"/>
    <w:rsid w:val="001E1134"/>
    <w:rsid w:val="00221394"/>
    <w:rsid w:val="00234DC4"/>
    <w:rsid w:val="00255F0A"/>
    <w:rsid w:val="00260902"/>
    <w:rsid w:val="0027145F"/>
    <w:rsid w:val="002742EE"/>
    <w:rsid w:val="0029388D"/>
    <w:rsid w:val="002B475A"/>
    <w:rsid w:val="002F6C8E"/>
    <w:rsid w:val="00322E97"/>
    <w:rsid w:val="00340D26"/>
    <w:rsid w:val="00351BAF"/>
    <w:rsid w:val="00362F3B"/>
    <w:rsid w:val="00384FD9"/>
    <w:rsid w:val="00385D53"/>
    <w:rsid w:val="00386F50"/>
    <w:rsid w:val="003A16DD"/>
    <w:rsid w:val="003C0B13"/>
    <w:rsid w:val="003C5BD8"/>
    <w:rsid w:val="003E4EB7"/>
    <w:rsid w:val="003E5FB8"/>
    <w:rsid w:val="00400A2E"/>
    <w:rsid w:val="00407204"/>
    <w:rsid w:val="00414486"/>
    <w:rsid w:val="0041454F"/>
    <w:rsid w:val="0041506D"/>
    <w:rsid w:val="00431380"/>
    <w:rsid w:val="0044101B"/>
    <w:rsid w:val="00445342"/>
    <w:rsid w:val="00451CA3"/>
    <w:rsid w:val="00465D8B"/>
    <w:rsid w:val="00476C2A"/>
    <w:rsid w:val="0049613A"/>
    <w:rsid w:val="004B17E0"/>
    <w:rsid w:val="004C1F6A"/>
    <w:rsid w:val="004D5F00"/>
    <w:rsid w:val="004D634E"/>
    <w:rsid w:val="004D7BB1"/>
    <w:rsid w:val="005004F4"/>
    <w:rsid w:val="00520E7B"/>
    <w:rsid w:val="00520F4B"/>
    <w:rsid w:val="00527F03"/>
    <w:rsid w:val="00527F8A"/>
    <w:rsid w:val="0055738F"/>
    <w:rsid w:val="0056091D"/>
    <w:rsid w:val="00564FA8"/>
    <w:rsid w:val="00570955"/>
    <w:rsid w:val="00581295"/>
    <w:rsid w:val="00582CAB"/>
    <w:rsid w:val="00586156"/>
    <w:rsid w:val="00594B35"/>
    <w:rsid w:val="005A74CD"/>
    <w:rsid w:val="005D1E70"/>
    <w:rsid w:val="005D1FCA"/>
    <w:rsid w:val="005D201C"/>
    <w:rsid w:val="005F55C0"/>
    <w:rsid w:val="005F78B3"/>
    <w:rsid w:val="00601910"/>
    <w:rsid w:val="00601F79"/>
    <w:rsid w:val="00620296"/>
    <w:rsid w:val="00623263"/>
    <w:rsid w:val="00632162"/>
    <w:rsid w:val="00643492"/>
    <w:rsid w:val="00653D27"/>
    <w:rsid w:val="00674A20"/>
    <w:rsid w:val="00693BDF"/>
    <w:rsid w:val="006A161F"/>
    <w:rsid w:val="006A7259"/>
    <w:rsid w:val="006B2F85"/>
    <w:rsid w:val="006B3A59"/>
    <w:rsid w:val="006C1D96"/>
    <w:rsid w:val="00700E0E"/>
    <w:rsid w:val="007265B8"/>
    <w:rsid w:val="007366C0"/>
    <w:rsid w:val="007407BC"/>
    <w:rsid w:val="0075364E"/>
    <w:rsid w:val="00753A4F"/>
    <w:rsid w:val="0075443B"/>
    <w:rsid w:val="007640FF"/>
    <w:rsid w:val="007930B9"/>
    <w:rsid w:val="00794448"/>
    <w:rsid w:val="007B1153"/>
    <w:rsid w:val="007C20CD"/>
    <w:rsid w:val="007C370A"/>
    <w:rsid w:val="007E7769"/>
    <w:rsid w:val="008208F6"/>
    <w:rsid w:val="008260B0"/>
    <w:rsid w:val="00835C35"/>
    <w:rsid w:val="00836865"/>
    <w:rsid w:val="00847D09"/>
    <w:rsid w:val="00854585"/>
    <w:rsid w:val="00861358"/>
    <w:rsid w:val="0088116B"/>
    <w:rsid w:val="0089355F"/>
    <w:rsid w:val="008B5BDF"/>
    <w:rsid w:val="008C6866"/>
    <w:rsid w:val="008D60F7"/>
    <w:rsid w:val="00904028"/>
    <w:rsid w:val="00913E12"/>
    <w:rsid w:val="00925A9A"/>
    <w:rsid w:val="00926A54"/>
    <w:rsid w:val="00935E08"/>
    <w:rsid w:val="00957A4D"/>
    <w:rsid w:val="009627A6"/>
    <w:rsid w:val="00983EFA"/>
    <w:rsid w:val="009B0A3F"/>
    <w:rsid w:val="009C47B4"/>
    <w:rsid w:val="009E2C20"/>
    <w:rsid w:val="009F0072"/>
    <w:rsid w:val="009F2660"/>
    <w:rsid w:val="009F5385"/>
    <w:rsid w:val="00A04016"/>
    <w:rsid w:val="00A06BA2"/>
    <w:rsid w:val="00A15485"/>
    <w:rsid w:val="00A238B6"/>
    <w:rsid w:val="00A40DBD"/>
    <w:rsid w:val="00A42CAB"/>
    <w:rsid w:val="00A45641"/>
    <w:rsid w:val="00A458EA"/>
    <w:rsid w:val="00A5043D"/>
    <w:rsid w:val="00A562D2"/>
    <w:rsid w:val="00A64E9E"/>
    <w:rsid w:val="00AA685A"/>
    <w:rsid w:val="00AB2B11"/>
    <w:rsid w:val="00AB425B"/>
    <w:rsid w:val="00AB6DBE"/>
    <w:rsid w:val="00AD444A"/>
    <w:rsid w:val="00AE1A6A"/>
    <w:rsid w:val="00AE7EB7"/>
    <w:rsid w:val="00B17212"/>
    <w:rsid w:val="00B27B76"/>
    <w:rsid w:val="00B32506"/>
    <w:rsid w:val="00B42AB1"/>
    <w:rsid w:val="00B42E81"/>
    <w:rsid w:val="00B563DD"/>
    <w:rsid w:val="00B64F64"/>
    <w:rsid w:val="00B71D12"/>
    <w:rsid w:val="00B71D35"/>
    <w:rsid w:val="00BA11DA"/>
    <w:rsid w:val="00BA2B73"/>
    <w:rsid w:val="00BB2731"/>
    <w:rsid w:val="00BB5C86"/>
    <w:rsid w:val="00BD0F8A"/>
    <w:rsid w:val="00BF27FB"/>
    <w:rsid w:val="00C056B0"/>
    <w:rsid w:val="00C21AA4"/>
    <w:rsid w:val="00C338C6"/>
    <w:rsid w:val="00C4550B"/>
    <w:rsid w:val="00C51EDA"/>
    <w:rsid w:val="00C53F67"/>
    <w:rsid w:val="00C84F03"/>
    <w:rsid w:val="00C93656"/>
    <w:rsid w:val="00C94B32"/>
    <w:rsid w:val="00CA7C43"/>
    <w:rsid w:val="00CB0B09"/>
    <w:rsid w:val="00CD34D4"/>
    <w:rsid w:val="00CD6583"/>
    <w:rsid w:val="00CE3E25"/>
    <w:rsid w:val="00D10724"/>
    <w:rsid w:val="00D31AEF"/>
    <w:rsid w:val="00D42713"/>
    <w:rsid w:val="00D43F0A"/>
    <w:rsid w:val="00D6066F"/>
    <w:rsid w:val="00D72E9C"/>
    <w:rsid w:val="00D75227"/>
    <w:rsid w:val="00D76286"/>
    <w:rsid w:val="00D8305F"/>
    <w:rsid w:val="00DC6F4D"/>
    <w:rsid w:val="00DF4FF9"/>
    <w:rsid w:val="00DF67C0"/>
    <w:rsid w:val="00E06B08"/>
    <w:rsid w:val="00E33A77"/>
    <w:rsid w:val="00E346D4"/>
    <w:rsid w:val="00E34A1D"/>
    <w:rsid w:val="00E357FC"/>
    <w:rsid w:val="00E605EA"/>
    <w:rsid w:val="00E64FFE"/>
    <w:rsid w:val="00E74BCC"/>
    <w:rsid w:val="00E836D1"/>
    <w:rsid w:val="00EA4473"/>
    <w:rsid w:val="00EC6AFC"/>
    <w:rsid w:val="00EE2928"/>
    <w:rsid w:val="00EE3BA5"/>
    <w:rsid w:val="00EE536F"/>
    <w:rsid w:val="00EE71A9"/>
    <w:rsid w:val="00EF15B3"/>
    <w:rsid w:val="00EF786E"/>
    <w:rsid w:val="00F00BC4"/>
    <w:rsid w:val="00F01430"/>
    <w:rsid w:val="00F22702"/>
    <w:rsid w:val="00F34287"/>
    <w:rsid w:val="00F34461"/>
    <w:rsid w:val="00F47E3B"/>
    <w:rsid w:val="00F5209A"/>
    <w:rsid w:val="00F56EF3"/>
    <w:rsid w:val="00F5785D"/>
    <w:rsid w:val="00F63972"/>
    <w:rsid w:val="00F67F4B"/>
    <w:rsid w:val="00F752F5"/>
    <w:rsid w:val="00F80F24"/>
    <w:rsid w:val="00F81424"/>
    <w:rsid w:val="00F8682C"/>
    <w:rsid w:val="00FA2448"/>
    <w:rsid w:val="00FB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538ACC0E-CCAC-4F76-991F-EC9E28D5B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B3">
    <w:name w:val="B3"/>
    <w:basedOn w:val="List3"/>
    <w:link w:val="B3Char"/>
    <w:rsid w:val="007B115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7B115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character" w:customStyle="1" w:styleId="B3Char">
    <w:name w:val="B3 Char"/>
    <w:link w:val="B3"/>
    <w:rsid w:val="007B1153"/>
    <w:rPr>
      <w:rFonts w:ascii="Times New Roman" w:eastAsia="Times New Roman" w:hAnsi="Times New Roman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7B115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1153"/>
    <w:pPr>
      <w:ind w:left="1440" w:hanging="360"/>
      <w:contextualSpacing/>
    </w:pPr>
  </w:style>
  <w:style w:type="paragraph" w:customStyle="1" w:styleId="tah0">
    <w:name w:val="tah"/>
    <w:basedOn w:val="Normal"/>
    <w:rsid w:val="00EE3BA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l">
    <w:name w:val="tal"/>
    <w:basedOn w:val="Normal"/>
    <w:rsid w:val="00EE3BA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861358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GridTable5Dark-Accent5">
    <w:name w:val="Grid Table 5 Dark Accent 5"/>
    <w:basedOn w:val="TableNormal"/>
    <w:uiPriority w:val="50"/>
    <w:rsid w:val="0086135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Strong">
    <w:name w:val="Strong"/>
    <w:basedOn w:val="DefaultParagraphFont"/>
    <w:uiPriority w:val="22"/>
    <w:qFormat/>
    <w:rsid w:val="006A161F"/>
    <w:rPr>
      <w:b/>
      <w:bCs/>
    </w:rPr>
  </w:style>
  <w:style w:type="character" w:customStyle="1" w:styleId="apple-converted-space">
    <w:name w:val="apple-converted-space"/>
    <w:basedOn w:val="DefaultParagraphFont"/>
    <w:rsid w:val="004D5F00"/>
  </w:style>
  <w:style w:type="paragraph" w:customStyle="1" w:styleId="b10">
    <w:name w:val="b1"/>
    <w:basedOn w:val="Normal"/>
    <w:rsid w:val="0060191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601910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2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HR33RHYHUWRF-4-18206</_dlc_DocId>
    <_dlc_DocIdUrl xmlns="c06861ca-3f08-4d07-bff7-bb15bac121f4">
      <Url>https://projects.qualcomm.com/sites/pentari/_layouts/15/DocIdRedir.aspx?ID=HR33RHYHUWRF-4-18206</Url>
      <Description>HR33RHYHUWRF-4-18206</Description>
    </_dlc_DocIdUrl>
  </documentManagement>
</p:properties>
</file>

<file path=customXml/itemProps1.xml><?xml version="1.0" encoding="utf-8"?>
<ds:datastoreItem xmlns:ds="http://schemas.openxmlformats.org/officeDocument/2006/customXml" ds:itemID="{C24F9521-7479-4E3D-B853-85C30A4CD4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A1A405-6E9C-41A4-877B-7A3B084B9C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D5926F2-DC08-4089-80F1-920A54DBE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A42B3A-4CD7-4E3B-B0EF-E13934F4A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7299DC-E9B5-4C5A-B03E-00EF26172912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Alberto 2 (QC)</cp:lastModifiedBy>
  <cp:revision>9</cp:revision>
  <cp:lastPrinted>2020-02-10T06:14:00Z</cp:lastPrinted>
  <dcterms:created xsi:type="dcterms:W3CDTF">2021-11-05T05:19:00Z</dcterms:created>
  <dcterms:modified xsi:type="dcterms:W3CDTF">2022-02-13T19:02:00Z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b0e792b8-b2b7-48b5-a101-7710eff50266</vt:lpwstr>
  </property>
  <property fmtid="{D5CDD505-2E9C-101B-9397-08002B2CF9AE}" pid="3" name="ContentTypeId">
    <vt:lpwstr>0x010100BC29BFD66497B943AA3B102F0C7B1355</vt:lpwstr>
  </property>
</Properties>
</file>